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县人大常委会副主任张学杰一行到安图法院指导失信惩戒工作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32" w:firstLineChars="200"/>
        <w:jc w:val="both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Fonts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</w:rPr>
        <w:t>7月19日，县人大常委会副主任张学杰一行到安图法院调研指导失信惩戒工作，并召开座谈会。安图法院院长金光锡、执行局局长孔祥慧参加座谈。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3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</w:rPr>
        <w:t>会上，金光锡院长就本院开展失信惩戒工作情况进行了汇报。自“基本解决执行难”工作开展以来，安图法院依托政治优势，与37个联动部门构建联合惩戒大格局。率先建成了“点对点”财产查控系统，打破信息壁垒，实现了执行模式的新变革。加大对失信被执行人的打击力度，多次开展集中执行活动，强势打击失信“老赖”。扩大失信曝光影响力，有效利用媒体平台曝光失信信息，形成了强大的社会合力，使得失信惩戒工作取得了一定的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</w:rPr>
        <w:t>县人大常委会副主任张学杰对安图法院失信惩戒工作给予高度肯定。他指出，执行关乎法院形象、群众利益，安图法院在执行工作难度大的形势下，依托我县失信惩戒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</w:rPr>
        <w:t>联动机制和“点对点”查控系统，不断提升执行工作质效。同时，张学杰也对安图法院失信惩戒工作提出了三点要求，一是要继续加强运用“点对点”查控系统，落实联动机制，加强信息反馈，以便全面掌握、评估失信惩戒后的效果。二是要继续加强失信曝光，运用好新媒体开展普法宣传，强化思想引领，传播社会正能量。三是要继续加大执行力度，不要让群众有“赢了官司输了钱”的感受，全力确保生效的判决得到兑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jc w:val="center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 xml:space="preserve">    （安图法院毕蕊供稿）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B49F6"/>
    <w:rsid w:val="089F2186"/>
    <w:rsid w:val="0FFB49F6"/>
    <w:rsid w:val="20206812"/>
    <w:rsid w:val="55933606"/>
    <w:rsid w:val="64A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2019-07-19T02:15:00Z</dcterms:created>
  <dc:creator>1</dc:creator>
  <cp:lastModifiedBy>Rainbow</cp:lastModifiedBy>
  <dcterms:modified xsi:type="dcterms:W3CDTF">2019-07-22T06:26:07Z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